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a3"/>
        <w:jc w:val="right"/>
        <w:rPr>
          <w:rFonts w:ascii="Times New Roman" w:hAnsi="Times New Roman" w:cs="Times New Roman"/>
          <w:b/>
          <w:bCs/>
        </w:rPr>
      </w:pPr>
    </w:p>
    <w:p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</w:rPr>
        <w:t xml:space="preserve">          </w:t>
      </w:r>
      <w:r>
        <w:rPr>
          <w:rFonts w:ascii="Times New Roman" w:hAnsi="Times New Roman"/>
          <w:b/>
          <w:noProof/>
          <w:sz w:val="56"/>
          <w:szCs w:val="56"/>
        </w:rPr>
        <w:t>Конкурсное задание</w:t>
      </w:r>
      <w:r>
        <w:rPr>
          <w:rFonts w:ascii="Times New Roman" w:hAnsi="Times New Roman"/>
          <w:b/>
          <w:noProof/>
          <w:sz w:val="36"/>
          <w:szCs w:val="36"/>
        </w:rPr>
        <w:t xml:space="preserve">           </w:t>
      </w:r>
      <w:r>
        <w:rPr>
          <w:rFonts w:ascii="Times New Roman" w:hAnsi="Times New Roman"/>
          <w:b/>
          <w:noProof/>
          <w:sz w:val="36"/>
          <w:szCs w:val="36"/>
        </w:rPr>
        <w:drawing>
          <wp:inline distT="0" distB="0" distL="0" distR="0">
            <wp:extent cx="1514475" cy="111196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11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36"/>
          <w:szCs w:val="36"/>
        </w:rPr>
        <w:t xml:space="preserve">                                                                 </w:t>
      </w:r>
      <w:r>
        <w:rPr>
          <w:rFonts w:ascii="Times New Roman" w:hAnsi="Times New Roman"/>
          <w:b/>
          <w:sz w:val="36"/>
          <w:szCs w:val="36"/>
        </w:rPr>
        <w:t xml:space="preserve">                                                                                   </w:t>
      </w:r>
      <w:r>
        <w:rPr>
          <w:rFonts w:ascii="Times New Roman" w:hAnsi="Times New Roman"/>
          <w:b/>
          <w:sz w:val="36"/>
          <w:szCs w:val="36"/>
        </w:rPr>
        <w:br w:type="textWrapping" w:clear="all"/>
      </w:r>
    </w:p>
    <w:p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         ПО КОМПЕТЕНЦИИ </w:t>
      </w:r>
    </w:p>
    <w:p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FF0000"/>
          <w:sz w:val="56"/>
          <w:szCs w:val="56"/>
        </w:rPr>
      </w:pPr>
      <w:r>
        <w:rPr>
          <w:rFonts w:ascii="Times New Roman" w:hAnsi="Times New Roman"/>
          <w:b/>
          <w:color w:val="FF0000"/>
          <w:sz w:val="56"/>
          <w:szCs w:val="56"/>
          <w:lang w:val="en-US"/>
        </w:rPr>
        <w:t>R</w:t>
      </w:r>
      <w:r>
        <w:rPr>
          <w:rFonts w:ascii="Times New Roman" w:hAnsi="Times New Roman"/>
          <w:b/>
          <w:color w:val="FF0000"/>
          <w:sz w:val="56"/>
          <w:szCs w:val="56"/>
        </w:rPr>
        <w:t>27 Огранка ювелирных вставок»</w:t>
      </w:r>
    </w:p>
    <w:p>
      <w:pPr>
        <w:spacing w:after="0"/>
        <w:rPr>
          <w:rFonts w:ascii="Times New Roman" w:eastAsia="Malgun Gothic" w:hAnsi="Times New Roman"/>
          <w:b/>
          <w:sz w:val="40"/>
          <w:szCs w:val="24"/>
        </w:rPr>
      </w:pPr>
    </w:p>
    <w:p>
      <w:pPr>
        <w:rPr>
          <w:rFonts w:ascii="Times New Roman" w:hAnsi="Times New Roman"/>
          <w:noProof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t>Задание включает в себя следующие разделы:</w:t>
      </w:r>
    </w:p>
    <w:p>
      <w:pPr>
        <w:pStyle w:val="Doctitle"/>
        <w:numPr>
          <w:ilvl w:val="0"/>
          <w:numId w:val="8"/>
        </w:numPr>
        <w:rPr>
          <w:rFonts w:ascii="Times New Roman" w:eastAsia="Malgun Gothic" w:hAnsi="Times New Roman"/>
          <w:b w:val="0"/>
          <w:sz w:val="28"/>
          <w:szCs w:val="28"/>
          <w:lang w:val="ru-RU"/>
        </w:rPr>
      </w:pPr>
      <w:r>
        <w:rPr>
          <w:rFonts w:ascii="Times New Roman" w:eastAsia="Malgun Gothic" w:hAnsi="Times New Roman"/>
          <w:b w:val="0"/>
          <w:sz w:val="28"/>
          <w:szCs w:val="28"/>
          <w:lang w:val="ru-RU"/>
        </w:rPr>
        <w:t xml:space="preserve">Формы участия </w:t>
      </w:r>
    </w:p>
    <w:p>
      <w:pPr>
        <w:pStyle w:val="Doctitle"/>
        <w:numPr>
          <w:ilvl w:val="0"/>
          <w:numId w:val="8"/>
        </w:numPr>
        <w:rPr>
          <w:rFonts w:ascii="Times New Roman" w:eastAsia="Malgun Gothic" w:hAnsi="Times New Roman"/>
          <w:b w:val="0"/>
          <w:sz w:val="28"/>
          <w:szCs w:val="28"/>
          <w:lang w:val="ru-RU"/>
        </w:rPr>
      </w:pPr>
      <w:r>
        <w:rPr>
          <w:rFonts w:ascii="Times New Roman" w:eastAsia="Malgun Gothic" w:hAnsi="Times New Roman"/>
          <w:b w:val="0"/>
          <w:sz w:val="28"/>
          <w:szCs w:val="28"/>
          <w:lang w:val="ru-RU"/>
        </w:rPr>
        <w:t>Модули задания и необходимое время</w:t>
      </w:r>
    </w:p>
    <w:p>
      <w:pPr>
        <w:pStyle w:val="Doctitle"/>
        <w:numPr>
          <w:ilvl w:val="0"/>
          <w:numId w:val="8"/>
        </w:numPr>
        <w:rPr>
          <w:rFonts w:ascii="Times New Roman" w:eastAsia="Malgun Gothic" w:hAnsi="Times New Roman"/>
          <w:b w:val="0"/>
          <w:sz w:val="28"/>
          <w:szCs w:val="28"/>
          <w:lang w:val="ru-RU"/>
        </w:rPr>
      </w:pPr>
      <w:r>
        <w:rPr>
          <w:rFonts w:ascii="Times New Roman" w:eastAsia="Malgun Gothic" w:hAnsi="Times New Roman"/>
          <w:b w:val="0"/>
          <w:sz w:val="28"/>
          <w:szCs w:val="28"/>
          <w:lang w:val="ru-RU"/>
        </w:rPr>
        <w:t>Критерии оценки</w:t>
      </w:r>
    </w:p>
    <w:p>
      <w:pPr>
        <w:pStyle w:val="Doctitle"/>
        <w:numPr>
          <w:ilvl w:val="0"/>
          <w:numId w:val="8"/>
        </w:numPr>
        <w:rPr>
          <w:rFonts w:ascii="Times New Roman" w:eastAsia="Malgun Gothic" w:hAnsi="Times New Roman"/>
          <w:b w:val="0"/>
          <w:sz w:val="28"/>
          <w:szCs w:val="28"/>
          <w:lang w:val="ru-RU"/>
        </w:rPr>
      </w:pPr>
      <w:r>
        <w:rPr>
          <w:rFonts w:ascii="Times New Roman" w:eastAsia="Malgun Gothic" w:hAnsi="Times New Roman"/>
          <w:b w:val="0"/>
          <w:sz w:val="28"/>
          <w:szCs w:val="28"/>
          <w:lang w:val="ru-RU"/>
        </w:rPr>
        <w:t>Необходимые приложения</w:t>
      </w:r>
    </w:p>
    <w:p>
      <w:pPr>
        <w:pStyle w:val="Doctitle"/>
        <w:rPr>
          <w:rFonts w:ascii="Times New Roman" w:eastAsia="Malgun Gothic" w:hAnsi="Times New Roman"/>
          <w:sz w:val="28"/>
          <w:szCs w:val="28"/>
          <w:lang w:val="ru-RU"/>
        </w:rPr>
      </w:pPr>
    </w:p>
    <w:p>
      <w:pPr>
        <w:rPr>
          <w:rFonts w:ascii="Times New Roman" w:hAnsi="Times New Roman"/>
          <w:noProof/>
          <w:color w:val="FF0000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t>Количество часов на выполнение задания:</w:t>
      </w:r>
      <w:r>
        <w:rPr>
          <w:rFonts w:ascii="Times New Roman" w:hAnsi="Times New Roman"/>
          <w:noProof/>
          <w:color w:val="4F81BD" w:themeColor="accent1"/>
          <w:sz w:val="28"/>
          <w:szCs w:val="28"/>
        </w:rPr>
        <w:t xml:space="preserve"> 19 </w:t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t>ч.</w:t>
      </w:r>
    </w:p>
    <w:p>
      <w:pPr>
        <w:pStyle w:val="Docsubtitle2"/>
        <w:rPr>
          <w:rFonts w:ascii="Times New Roman" w:hAnsi="Times New Roman" w:cs="Times New Roman"/>
          <w:lang w:val="ru-RU" w:eastAsia="ko-KR"/>
        </w:rPr>
      </w:pPr>
    </w:p>
    <w:p>
      <w:pPr>
        <w:pStyle w:val="Docsubtitle2"/>
        <w:rPr>
          <w:rFonts w:ascii="Times New Roman" w:hAnsi="Times New Roman" w:cs="Times New Roman"/>
          <w:lang w:val="ru-RU"/>
        </w:rPr>
      </w:pPr>
    </w:p>
    <w:p>
      <w:pPr>
        <w:pStyle w:val="Docsubtitle2"/>
        <w:ind w:left="-993"/>
        <w:rPr>
          <w:rFonts w:ascii="Times New Roman" w:hAnsi="Times New Roman" w:cs="Times New Roman"/>
          <w:lang w:val="ru-RU" w:eastAsia="ko-KR"/>
        </w:rPr>
      </w:pPr>
      <w:r>
        <w:rPr>
          <w:rFonts w:ascii="Times New Roman" w:hAnsi="Times New Roman"/>
          <w:noProof/>
          <w:lang w:val="ru-RU" w:eastAsia="ru-RU"/>
        </w:rPr>
        <w:drawing>
          <wp:inline distT="0" distB="0" distL="0" distR="0">
            <wp:extent cx="7524750" cy="3733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7735" cy="37352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 w:hAnsi="Times New Roman"/>
          <w:sz w:val="28"/>
          <w:szCs w:val="28"/>
        </w:rPr>
      </w:pPr>
    </w:p>
    <w:p>
      <w:pPr>
        <w:spacing w:after="0"/>
        <w:rPr>
          <w:rFonts w:ascii="Times New Roman" w:hAnsi="Times New Roman"/>
          <w:sz w:val="28"/>
          <w:szCs w:val="28"/>
        </w:rPr>
      </w:pPr>
    </w:p>
    <w:p>
      <w:pPr>
        <w:spacing w:after="0"/>
        <w:rPr>
          <w:rFonts w:ascii="Times New Roman" w:hAnsi="Times New Roman"/>
          <w:sz w:val="28"/>
          <w:szCs w:val="28"/>
        </w:rPr>
      </w:pPr>
    </w:p>
    <w:p>
      <w:pPr>
        <w:pStyle w:val="2"/>
        <w:spacing w:before="0" w:after="0" w:line="276" w:lineRule="auto"/>
        <w:jc w:val="both"/>
        <w:rPr>
          <w:rFonts w:ascii="Times New Roman" w:hAnsi="Times New Roman"/>
          <w:i w:val="0"/>
          <w:sz w:val="28"/>
          <w:lang w:val="ru-RU"/>
        </w:rPr>
      </w:pPr>
      <w:r>
        <w:rPr>
          <w:rFonts w:ascii="Times New Roman" w:hAnsi="Times New Roman"/>
          <w:i w:val="0"/>
          <w:sz w:val="28"/>
          <w:lang w:val="ru-RU"/>
        </w:rPr>
        <w:lastRenderedPageBreak/>
        <w:t>1. ФОРМА УЧАСТИЯ</w:t>
      </w:r>
    </w:p>
    <w:p>
      <w:pPr>
        <w:rPr>
          <w:rFonts w:ascii="Times New Roman" w:hAnsi="Times New Roman"/>
          <w:sz w:val="28"/>
          <w:szCs w:val="28"/>
          <w:lang w:eastAsia="en-US"/>
        </w:rPr>
      </w:pPr>
    </w:p>
    <w:p>
      <w:pPr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>Индивидуальная, очная</w:t>
      </w:r>
    </w:p>
    <w:p>
      <w:pPr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Таблица 1. Модули и время выполнения работ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"/>
        <w:gridCol w:w="1811"/>
        <w:gridCol w:w="1935"/>
        <w:gridCol w:w="1560"/>
        <w:gridCol w:w="1205"/>
        <w:gridCol w:w="1821"/>
      </w:tblGrid>
      <w:tr>
        <w:trPr>
          <w:tblHeader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Раздел</w:t>
            </w:r>
          </w:p>
        </w:tc>
        <w:tc>
          <w:tcPr>
            <w:tcW w:w="1811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Критерий</w:t>
            </w:r>
          </w:p>
        </w:tc>
        <w:tc>
          <w:tcPr>
            <w:tcW w:w="4700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Оценки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Время выполнения, час</w:t>
            </w:r>
          </w:p>
        </w:tc>
      </w:tr>
      <w:tr>
        <w:trPr>
          <w:tblHeader/>
        </w:trPr>
        <w:tc>
          <w:tcPr>
            <w:tcW w:w="0" w:type="auto"/>
            <w:vMerge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</w:p>
        </w:tc>
        <w:tc>
          <w:tcPr>
            <w:tcW w:w="1811" w:type="dxa"/>
            <w:vMerge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Субъективная (если это применимо)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Объективная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Общая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</w:p>
        </w:tc>
      </w:tr>
      <w:tr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>Подготовка расчетов по заданной схеме-чертежу. Пришлифовка ювелирной вставки.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 xml:space="preserve">       20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 xml:space="preserve">    20</w:t>
            </w:r>
          </w:p>
        </w:tc>
        <w:tc>
          <w:tcPr>
            <w:tcW w:w="1821" w:type="dxa"/>
            <w:vMerge w:val="restart"/>
          </w:tcPr>
          <w:p>
            <w:pPr>
              <w:autoSpaceDE w:val="0"/>
              <w:autoSpaceDN w:val="0"/>
              <w:adjustRightInd w:val="0"/>
              <w:spacing w:after="240" w:line="360" w:lineRule="auto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</w:p>
          <w:p>
            <w:pPr>
              <w:autoSpaceDE w:val="0"/>
              <w:autoSpaceDN w:val="0"/>
              <w:adjustRightInd w:val="0"/>
              <w:spacing w:after="240" w:line="36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>4</w:t>
            </w:r>
          </w:p>
        </w:tc>
      </w:tr>
      <w:tr>
        <w:trPr>
          <w:trHeight w:val="551"/>
        </w:trPr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1.1.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Подготовка к работе, расчёт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1.2.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Наклейка полуфабрика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5</w:t>
            </w:r>
          </w:p>
        </w:tc>
        <w:tc>
          <w:tcPr>
            <w:tcW w:w="1205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5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>
        <w:trPr>
          <w:trHeight w:val="702"/>
        </w:trP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1.3.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0"/>
                <w:szCs w:val="20"/>
                <w:lang w:eastAsia="en-US"/>
              </w:rPr>
              <w:t>Черновая подшлифовка (обдирка) ювелирной вставки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  <w:tc>
          <w:tcPr>
            <w:tcW w:w="1205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2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Огранка и полировка павильона и рундиста ювелирной вставки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821" w:type="dxa"/>
            <w:vMerge w:val="restart"/>
          </w:tcPr>
          <w:p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7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2.1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 xml:space="preserve">Пропорции и симметрия павильона 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13</w:t>
            </w:r>
          </w:p>
        </w:tc>
        <w:tc>
          <w:tcPr>
            <w:tcW w:w="1205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13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2.2.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Размер ювелирной вставки 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  <w:tc>
          <w:tcPr>
            <w:tcW w:w="1205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2.3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Качество полировки павильона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18</w:t>
            </w:r>
          </w:p>
        </w:tc>
        <w:tc>
          <w:tcPr>
            <w:tcW w:w="1205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18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3. 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Огранка и полировка короны ювелирной вставки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1821" w:type="dxa"/>
            <w:vMerge w:val="restart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8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Пропорции и симметрия короны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05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3.2.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Размер ювелирной вставки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  <w:tc>
          <w:tcPr>
            <w:tcW w:w="1205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3.3.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Качество полировки короны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05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>
        <w:trPr>
          <w:trHeight w:val="113"/>
        </w:trP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3.4.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Рундист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05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21" w:type="dxa"/>
            <w:vMerge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>
        <w:tc>
          <w:tcPr>
            <w:tcW w:w="2693" w:type="dxa"/>
            <w:gridSpan w:val="2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 xml:space="preserve">Итого = </w:t>
            </w:r>
          </w:p>
        </w:tc>
        <w:tc>
          <w:tcPr>
            <w:tcW w:w="193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100</w:t>
            </w:r>
          </w:p>
        </w:tc>
        <w:tc>
          <w:tcPr>
            <w:tcW w:w="1205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100</w:t>
            </w:r>
          </w:p>
        </w:tc>
        <w:tc>
          <w:tcPr>
            <w:tcW w:w="1821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19</w:t>
            </w:r>
          </w:p>
        </w:tc>
      </w:tr>
    </w:tbl>
    <w:p>
      <w:pPr>
        <w:pStyle w:val="2"/>
        <w:spacing w:before="0" w:after="0" w:line="276" w:lineRule="auto"/>
        <w:jc w:val="both"/>
        <w:rPr>
          <w:rFonts w:ascii="Times New Roman" w:hAnsi="Times New Roman"/>
          <w:i w:val="0"/>
          <w:sz w:val="28"/>
          <w:lang w:val="ru-RU"/>
        </w:rPr>
      </w:pPr>
      <w:r>
        <w:rPr>
          <w:rFonts w:ascii="Times New Roman" w:hAnsi="Times New Roman"/>
          <w:i w:val="0"/>
          <w:sz w:val="28"/>
          <w:lang w:val="ru-RU"/>
        </w:rPr>
        <w:lastRenderedPageBreak/>
        <w:t>2. МОДУЛИ ЗАДАНИЯ И НЕОБХОДИМОЕ ВРЕМЯ</w:t>
      </w:r>
    </w:p>
    <w:p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Модули и время сведены в таблице 1 </w:t>
      </w:r>
    </w:p>
    <w:p>
      <w:pPr>
        <w:tabs>
          <w:tab w:val="left" w:pos="7245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1.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85"/>
        <w:gridCol w:w="3946"/>
        <w:gridCol w:w="2694"/>
        <w:gridCol w:w="2415"/>
      </w:tblGrid>
      <w:tr>
        <w:tc>
          <w:tcPr>
            <w:tcW w:w="585" w:type="dxa"/>
            <w:vAlign w:val="center"/>
          </w:tcPr>
          <w:p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 п/п</w:t>
            </w:r>
          </w:p>
        </w:tc>
        <w:tc>
          <w:tcPr>
            <w:tcW w:w="3946" w:type="dxa"/>
            <w:vAlign w:val="center"/>
          </w:tcPr>
          <w:p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Наименование модуля</w:t>
            </w:r>
          </w:p>
        </w:tc>
        <w:tc>
          <w:tcPr>
            <w:tcW w:w="2694" w:type="dxa"/>
            <w:vAlign w:val="center"/>
          </w:tcPr>
          <w:p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Максимальный балл</w:t>
            </w:r>
          </w:p>
        </w:tc>
        <w:tc>
          <w:tcPr>
            <w:tcW w:w="2415" w:type="dxa"/>
            <w:vAlign w:val="center"/>
          </w:tcPr>
          <w:p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Время на выполнение</w:t>
            </w:r>
          </w:p>
        </w:tc>
      </w:tr>
      <w:tr>
        <w:trPr>
          <w:trHeight w:val="1004"/>
        </w:trPr>
        <w:tc>
          <w:tcPr>
            <w:tcW w:w="585" w:type="dxa"/>
          </w:tcPr>
          <w:p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6" w:type="dxa"/>
          </w:tcPr>
          <w:p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расчетов по заданной схеме-чертежу. Пришлифовка ювелирной вставки.</w:t>
            </w:r>
          </w:p>
        </w:tc>
        <w:tc>
          <w:tcPr>
            <w:tcW w:w="2694" w:type="dxa"/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15" w:type="dxa"/>
            <w:vAlign w:val="center"/>
          </w:tcPr>
          <w:p>
            <w:pPr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>
        <w:tc>
          <w:tcPr>
            <w:tcW w:w="585" w:type="dxa"/>
          </w:tcPr>
          <w:p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46" w:type="dxa"/>
          </w:tcPr>
          <w:p>
            <w:pPr>
              <w:spacing w:after="0"/>
              <w:ind w:hanging="3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Огранка и полировка павильона и рундиста ювелирной вставки</w:t>
            </w:r>
          </w:p>
        </w:tc>
        <w:tc>
          <w:tcPr>
            <w:tcW w:w="2694" w:type="dxa"/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415" w:type="dxa"/>
            <w:vAlign w:val="center"/>
          </w:tcPr>
          <w:p>
            <w:pPr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>
        <w:tc>
          <w:tcPr>
            <w:tcW w:w="585" w:type="dxa"/>
          </w:tcPr>
          <w:p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46" w:type="dxa"/>
          </w:tcPr>
          <w:p>
            <w:pPr>
              <w:spacing w:after="0"/>
              <w:ind w:hanging="3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Огранка и полировка короны ювелирной вставки</w:t>
            </w:r>
          </w:p>
        </w:tc>
        <w:tc>
          <w:tcPr>
            <w:tcW w:w="2694" w:type="dxa"/>
            <w:vAlign w:val="center"/>
          </w:tcPr>
          <w:p>
            <w:pPr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415" w:type="dxa"/>
            <w:vAlign w:val="center"/>
          </w:tcPr>
          <w:p>
            <w:pPr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>
      <w:pPr>
        <w:spacing w:after="0"/>
        <w:jc w:val="both"/>
        <w:rPr>
          <w:rFonts w:ascii="Times New Roman" w:hAnsi="Times New Roman"/>
          <w:b/>
          <w:szCs w:val="28"/>
        </w:rPr>
      </w:pPr>
    </w:p>
    <w:p>
      <w:pPr>
        <w:spacing w:after="0"/>
        <w:ind w:hanging="3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Модули с описанием работ</w:t>
      </w:r>
    </w:p>
    <w:p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Выполнение модулей проходит с оф-лайн режиме. </w:t>
      </w:r>
    </w:p>
    <w:p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Жеребьевку заготовок ювелирных вставок проводит главный эксперт за 1 день (С-1) до начала чемпионата. </w:t>
      </w:r>
    </w:p>
    <w:p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день С1 главный эксперт чемпионата выдает участникам задание с 30% изменениями (схема-чертеж) и заготовку ювелирной ставки, распиленную по размерам, полученным от главного эксперта. </w:t>
      </w:r>
    </w:p>
    <w:p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Далее участнику даётся 30 минут чистого времени для ознакомления со схемой-чертежом задания по огранке ювелирной вставки и просмотром заготовки ювелирной вставки.</w:t>
      </w:r>
    </w:p>
    <w:p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Все участники чемпионата за три дня проходят 3 модуля A B C.</w:t>
      </w:r>
    </w:p>
    <w:p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Совокупный период времени выполнения задания составляет 19 часов.</w:t>
      </w:r>
    </w:p>
    <w:p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</w:p>
    <w:p>
      <w:pPr>
        <w:spacing w:after="0"/>
        <w:ind w:hanging="34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Модуль А: </w:t>
      </w:r>
    </w:p>
    <w:p>
      <w:pPr>
        <w:spacing w:after="0"/>
        <w:ind w:hanging="34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А.</w:t>
      </w:r>
      <w:r>
        <w:t xml:space="preserve">  </w:t>
      </w:r>
      <w:r>
        <w:rPr>
          <w:rFonts w:ascii="Times New Roman" w:hAnsi="Times New Roman"/>
          <w:b/>
          <w:i/>
          <w:sz w:val="28"/>
          <w:szCs w:val="28"/>
        </w:rPr>
        <w:t>Подготовка расчетов по заданной схеме-чертежу. Пришлифовка ювелирной вставки.</w:t>
      </w:r>
    </w:p>
    <w:p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A.1.   Подготовка к работе. Расчёт. </w:t>
      </w:r>
    </w:p>
    <w:p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А.2</w:t>
      </w:r>
      <w:r>
        <w:rPr>
          <w:rFonts w:ascii="Times New Roman" w:hAnsi="Times New Roman"/>
          <w:sz w:val="28"/>
          <w:szCs w:val="28"/>
        </w:rPr>
        <w:tab/>
        <w:t>Наклейка полуфабриката</w:t>
      </w:r>
    </w:p>
    <w:p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А.3</w:t>
      </w:r>
      <w:r>
        <w:rPr>
          <w:rFonts w:ascii="Times New Roman" w:hAnsi="Times New Roman"/>
          <w:sz w:val="28"/>
          <w:szCs w:val="28"/>
        </w:rPr>
        <w:tab/>
        <w:t>Черновая подшлифовка (обдирка) ювелирной вставки.</w:t>
      </w:r>
    </w:p>
    <w:p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</w:p>
    <w:p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Модуль В: </w:t>
      </w:r>
    </w:p>
    <w:p>
      <w:pPr>
        <w:spacing w:after="0"/>
        <w:jc w:val="both"/>
        <w:rPr>
          <w:rFonts w:ascii="Times New Roman" w:eastAsia="Calibri" w:hAnsi="Times New Roman"/>
          <w:b/>
          <w:i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i/>
          <w:sz w:val="28"/>
          <w:szCs w:val="28"/>
          <w:lang w:eastAsia="en-US"/>
        </w:rPr>
        <w:t>В.  Огранка и полировка павильона и рундиста ювелирной вставки</w:t>
      </w:r>
    </w:p>
    <w:p>
      <w:pPr>
        <w:spacing w:after="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В.1</w:t>
      </w:r>
      <w:r>
        <w:rPr>
          <w:rFonts w:ascii="Times New Roman" w:eastAsia="Calibri" w:hAnsi="Times New Roman"/>
          <w:sz w:val="28"/>
          <w:szCs w:val="28"/>
          <w:lang w:eastAsia="en-US"/>
        </w:rPr>
        <w:tab/>
        <w:t>Пропорции и симметрия павильона</w:t>
      </w:r>
    </w:p>
    <w:p>
      <w:pPr>
        <w:spacing w:after="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lastRenderedPageBreak/>
        <w:t>B.2</w:t>
      </w:r>
      <w:r>
        <w:rPr>
          <w:rFonts w:ascii="Times New Roman" w:eastAsia="Calibri" w:hAnsi="Times New Roman"/>
          <w:sz w:val="28"/>
          <w:szCs w:val="28"/>
          <w:lang w:eastAsia="en-US"/>
        </w:rPr>
        <w:tab/>
        <w:t>Размер ювелирной вставки</w:t>
      </w:r>
    </w:p>
    <w:p>
      <w:pPr>
        <w:spacing w:after="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В.3</w:t>
      </w:r>
      <w:r>
        <w:rPr>
          <w:rFonts w:ascii="Times New Roman" w:eastAsia="Calibri" w:hAnsi="Times New Roman"/>
          <w:sz w:val="28"/>
          <w:szCs w:val="28"/>
          <w:lang w:eastAsia="en-US"/>
        </w:rPr>
        <w:tab/>
        <w:t xml:space="preserve">Качество полировки павильона </w:t>
      </w:r>
    </w:p>
    <w:p>
      <w:pPr>
        <w:spacing w:after="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  <w:szCs w:val="28"/>
        </w:rPr>
        <w:t xml:space="preserve">Модуль С: </w:t>
      </w:r>
    </w:p>
    <w:p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С. Огранка и полировка короны ювелирной вставки </w:t>
      </w: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С.1 Пропорции и симметрия короны </w:t>
      </w: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С.2. Размер ювелирной вставки </w:t>
      </w: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С.3. Качество полировки короны </w:t>
      </w:r>
    </w:p>
    <w:p>
      <w:pPr>
        <w:pStyle w:val="2"/>
        <w:spacing w:before="0" w:after="0" w:line="276" w:lineRule="auto"/>
        <w:jc w:val="both"/>
        <w:rPr>
          <w:rFonts w:ascii="Times New Roman" w:hAnsi="Times New Roman"/>
          <w:i w:val="0"/>
          <w:caps/>
          <w:sz w:val="28"/>
          <w:lang w:val="ru-RU"/>
        </w:rPr>
      </w:pPr>
    </w:p>
    <w:p>
      <w:pPr>
        <w:pStyle w:val="2"/>
        <w:spacing w:before="0" w:after="0" w:line="276" w:lineRule="auto"/>
        <w:jc w:val="both"/>
        <w:rPr>
          <w:rFonts w:ascii="Times New Roman" w:hAnsi="Times New Roman"/>
          <w:i w:val="0"/>
          <w:caps/>
          <w:sz w:val="28"/>
          <w:lang w:val="ru-RU"/>
        </w:rPr>
      </w:pPr>
      <w:r>
        <w:rPr>
          <w:rFonts w:ascii="Times New Roman" w:hAnsi="Times New Roman"/>
          <w:i w:val="0"/>
          <w:caps/>
          <w:sz w:val="28"/>
          <w:lang w:val="ru-RU"/>
        </w:rPr>
        <w:t>3. Критерии оценки</w:t>
      </w: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данном разделе определены критерии оценки и количество начисляемых баллов (субъективные и объективные) в Таблице 2.</w:t>
      </w: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Общее количество баллов задания/модулей по всем критериям оценки составляет 100.</w:t>
      </w: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полуфабриката ювелирной вставки проводится комиссией под руководством главного эксперта. В состав комиссии входят линейные эксперты участников. Оценка производится после выполнения каждого из модулей.  Член комиссии – линейный эксперт не оценивает участника своего региона. Результаты оценки заносятся членами комиссии в протоколы для ручной записи. Дефекты камня заносятся в карты дефектов конкретной ювелирной вставки с использованием специальных обозначений. Главный эксперт заносит результаты оценки экспертной комиссии в систему </w:t>
      </w:r>
      <w:r>
        <w:rPr>
          <w:rFonts w:ascii="Times New Roman" w:hAnsi="Times New Roman"/>
          <w:sz w:val="28"/>
          <w:szCs w:val="28"/>
          <w:lang w:val="en-US"/>
        </w:rPr>
        <w:t>CIS</w:t>
      </w:r>
      <w:r>
        <w:rPr>
          <w:rFonts w:ascii="Times New Roman" w:hAnsi="Times New Roman"/>
          <w:sz w:val="28"/>
          <w:szCs w:val="28"/>
        </w:rPr>
        <w:t xml:space="preserve">. </w:t>
      </w: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>
      <w:pPr>
        <w:tabs>
          <w:tab w:val="left" w:pos="759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2.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3"/>
        <w:gridCol w:w="2593"/>
        <w:gridCol w:w="2296"/>
        <w:gridCol w:w="1560"/>
        <w:gridCol w:w="2024"/>
      </w:tblGrid>
      <w:tr>
        <w:trPr>
          <w:tblHeader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Раздел</w:t>
            </w:r>
          </w:p>
        </w:tc>
        <w:tc>
          <w:tcPr>
            <w:tcW w:w="2593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Критерий</w:t>
            </w:r>
          </w:p>
        </w:tc>
        <w:tc>
          <w:tcPr>
            <w:tcW w:w="5880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Оценки</w:t>
            </w:r>
          </w:p>
        </w:tc>
      </w:tr>
      <w:tr>
        <w:trPr>
          <w:tblHeader/>
        </w:trPr>
        <w:tc>
          <w:tcPr>
            <w:tcW w:w="0" w:type="auto"/>
            <w:vMerge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</w:p>
        </w:tc>
        <w:tc>
          <w:tcPr>
            <w:tcW w:w="2593" w:type="dxa"/>
            <w:vMerge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Субъективная (если это применимо)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Объективная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Общая</w:t>
            </w:r>
          </w:p>
        </w:tc>
      </w:tr>
      <w:tr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>Подготовка расчетов по заданной схеме-чертежу. Пришлифовка ювелирной вставки.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>20</w:t>
            </w:r>
          </w:p>
        </w:tc>
      </w:tr>
      <w:tr>
        <w:trPr>
          <w:trHeight w:val="551"/>
        </w:trPr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1.1.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Подготовка к работе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</w:tr>
      <w:tr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1.1.1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рабочего места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1.1.2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Расчет размера площадки. U и T. (U - ширина площадки, Т- длинна площадки)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rPr>
          <w:trHeight w:val="592"/>
        </w:trPr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1.1.3.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Расчет высоты павильона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1.1.4.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Расчет высоты короны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1.1.5.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Расчёт общей высоты ювелирной вставки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1.1.6.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Расчёт массы ювелирной вставки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1.1.7.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Расчёт размеров L  ( L - удлинение)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1.1.8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Расчёт размера h. (h - размер фацета указанного на чертеже)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1.2.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Наклейка полуфабриката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5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5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1.2.1.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spacing w:after="0"/>
              <w:ind w:left="22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Подбор кича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1.2.2.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spacing w:after="0"/>
              <w:ind w:left="22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Контроль заготовки по линейным размерам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1.2.3.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spacing w:after="0"/>
              <w:ind w:left="22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Выбор метода наклейки, подбор температурного режима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lastRenderedPageBreak/>
              <w:t>1.2.4.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spacing w:after="0"/>
              <w:ind w:left="22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Разметка и подшлифовка площадки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rPr>
          <w:trHeight w:val="583"/>
        </w:trP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1.3.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Черновая подшлифовка (обдирка)ювелирной вставки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1.3.1.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формообразующих и основных (которые нельзя поставить на полировке) граней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1.3.2.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заданному размеру W ( -0,2мм/+0,3мм) +\-0.2мм -2 балла; более 0,3мм -1 балл, менее 0,2мм — 0 баллов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1.3.3.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формы заданным размерам L (+/- 0,1 мм)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1.3.4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Высота пояска (размер не менее размера высоты для короны+рундист)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rPr>
          <w:trHeight w:val="657"/>
        </w:trP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2</w:t>
            </w:r>
          </w:p>
        </w:tc>
        <w:tc>
          <w:tcPr>
            <w:tcW w:w="6449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Огранка и полировка павильона и рундиста ювелирной вставки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38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2.1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 xml:space="preserve">Пропорции и симметрия павильона 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13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13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2.1.1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Техника безопасности перед началом выполнения модуля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2.1.2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найфов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2.1.3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 дополнительных фасетов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2.1.4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граней повреждённых дополнительным фацетом (расчёт по формуле)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lastRenderedPageBreak/>
              <w:t>2.1.5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явного несхождения граней павильона в шип явно различимого в10х лупу, а также отсутствие скола шипа или коллеты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2.1.6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Точка схождения граней павильона в шип (расчёт по формуле)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2.1.7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явного несхождения точек встречи (кроме шипа) без труда различимого в 10х лупу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2.1.8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Точки схождения граней павильона, кроме шипа (расчет по формуле)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2.2.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Размер ювелирной вставки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2.2.1.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формы заданному размеру W (+/-0,2мм)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2.2.2.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формы заданному контуру рундиста по L (отклонение по сторонам не превышает 0,1 мм)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2.2.3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размера L и h расчетным с допуском +/- 0,1мм по фактическому размеру W.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2.2.4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пропорций рисунка огранки заданной схеме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2.3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Качество полировки павильона (Все параметры рассчитываются по</w:t>
            </w:r>
            <w:r>
              <w:t xml:space="preserve"> </w:t>
            </w:r>
            <w:r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формуле </w:t>
            </w:r>
            <w:r>
              <w:rPr>
                <w:rFonts w:ascii="Times New Roman" w:eastAsia="Calibri" w:hAnsi="Times New Roman"/>
                <w:b/>
                <w:i/>
                <w:lang w:eastAsia="en-US"/>
              </w:rPr>
              <w:lastRenderedPageBreak/>
              <w:t>исходя из общего количества</w:t>
            </w:r>
            <w:r>
              <w:t xml:space="preserve"> г</w:t>
            </w:r>
            <w:r>
              <w:rPr>
                <w:rFonts w:ascii="Times New Roman" w:eastAsia="Calibri" w:hAnsi="Times New Roman"/>
                <w:b/>
                <w:i/>
                <w:lang w:eastAsia="en-US"/>
              </w:rPr>
              <w:t>раней павильона и граней не имеющих оцениваемых дефектов.)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lastRenderedPageBreak/>
              <w:t>18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18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2.3.1.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"больших"  рисок и сколов, а так же явных точек и рисок от недополировки на гранях, явно различимых в 10х лупу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2.3.2.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граней повреждённых "большими" рисками и сколами а также "явными" точками и рисками от недополировки явно различимыми в 10х лупу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2.3.3.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сколов и замотовки на рёбрах , явно различимых в 10х лупу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2.3.4.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рёбер повреждённых сколами и замотовкой явно различимых в 10х лупу(формула)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2.3.5.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разгранок, явно различимых в 10х лупу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2.3.6.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граней повреждённых разгранками явно различимых в лупу 10Х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2.3.7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разгранок на гранях, кроме рундиста, трудно различимых (теньевых) в лупу 10Х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lastRenderedPageBreak/>
              <w:t>2.3.8.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граней, кроме рундиста, повреждённых разгранками трудно различимыми (теньевые) в лупу 10Х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2.3.9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мелких, единичных "точек" от недополированных рисок и "шелка" явно различимых в 10х лупу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2.3.10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сколов и заматовки на рёбрах трудно различимых в лупу 10Х 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2.3.11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мелких рисок и щёлка трудно различимых в 10 х лупу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2.3.12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Симметрия граней павильона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3. </w:t>
            </w:r>
          </w:p>
        </w:tc>
        <w:tc>
          <w:tcPr>
            <w:tcW w:w="6449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Огранка и полировка короны ювелирной вставки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42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Пропорции и симметрия короны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13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3.1.1</w:t>
            </w:r>
          </w:p>
        </w:tc>
        <w:tc>
          <w:tcPr>
            <w:tcW w:w="2593" w:type="dxa"/>
            <w:shd w:val="clear" w:color="auto" w:fill="auto"/>
            <w:vAlign w:val="center"/>
          </w:tcPr>
          <w:p>
            <w:pPr>
              <w:spacing w:after="0"/>
              <w:ind w:left="22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Техника безопасности во время выполнения модуля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3.1.2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смещения, перекоса площадки относительно оси симметрии вставки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3.1.3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Симметричность граней (расчет по формуле)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lastRenderedPageBreak/>
              <w:t>3.1.4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дополнительных фацетов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3.1.5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граней повреждённых дополнительным фацетом ( расчёт по формуле)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3.1.6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явного несхождения точек встречи без напряжения различимого в 10х лупу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3.1.7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Точка схождения граней (расчет по формуле)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3.1.8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рисок и разгранок на площадке явно различимых в лупу 10Х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3.1.9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рисок и разгранок на площадке с трудом различимых в лупу 10Х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3.2.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Размер ювелирной вставки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3.2.1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Размер площадки T  (отклонение не более +/ - 0,1 мм - 2 балла, не более +/- 0,2мм - 1 балл; более 0,2мм (менее 0,2 мм) — 0 баллов).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3.2.2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формы заданным размером W (+/- 0,2мм)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3.2.3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Отклонение общей высоты ювелирной вставки от расчетной (не более +/- 0,2 мм) по </w:t>
            </w:r>
            <w:r>
              <w:rPr>
                <w:rFonts w:ascii="Times New Roman" w:hAnsi="Times New Roman"/>
              </w:rPr>
              <w:lastRenderedPageBreak/>
              <w:t>фактическому размеру W и рундисту r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3.2.4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пропорций рисунка огранки заданной схеме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3.2.5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найфов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3.3.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Качество полировки короны</w:t>
            </w:r>
            <w:r>
              <w:t xml:space="preserve"> (</w:t>
            </w: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Все параметры рассчитываются по формуле исходя из общего количества граней павильона и граней не имеющих</w:t>
            </w:r>
            <w:r>
              <w:t xml:space="preserve"> </w:t>
            </w: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оцениваемых дефектов.)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16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3.3.1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явных рисок и сколов, а так же явных точек от недополировки на гранях, кроме площадки, явно различимых в 10х лупу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3.3.2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граней повреждённых явными  рисками и сколами а также явными точками от недополировки, кроме площадки, явно различимыми в 10х лупу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3.3.3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разгранок на гранях, кроме площадки, явно различимых в лупу 10Х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3.3.4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граней, кроме площадки, повреждённых разгранками явно различимыми в лупу 10Х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3.3.5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разгранок на гранях, кроме площадки, </w:t>
            </w:r>
            <w:r>
              <w:rPr>
                <w:rFonts w:ascii="Times New Roman" w:hAnsi="Times New Roman"/>
              </w:rPr>
              <w:lastRenderedPageBreak/>
              <w:t>трудно различимых (теньевых) в лупу 10Х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3.3.6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граней, кроме площадки , повреждённых разгранками трудно различимыми (теньевые) в лупу 10Х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3.3.7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мелких, единичных "точек" от недополированных рисок и "шелка" на гранях кроме площадки, явно различимых в 10х лупу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3.3.8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сколов и замотовки на рёбрах , явно различимых в 10х лупу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3.3.9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рёбер повреждённых сколами и замотовкой явно различимых в 10х лупу(формула)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3.3.10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сколов и заматовки на рёбрах трудно различимых в лупу 10Х 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3.3.11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мелких рисок и щёлка на гранях кроме площадки, трудно различимых в 10 х лупу (формула)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3.4.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Рундист</w:t>
            </w: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5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3.4.1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Толщина рундиста (от  0,2мм до 0,3мм - 2 балла; больше 0,3мм менее - 0,4мм - 1 балл; менее </w:t>
            </w:r>
            <w:r>
              <w:rPr>
                <w:rFonts w:ascii="Times New Roman" w:hAnsi="Times New Roman"/>
              </w:rPr>
              <w:lastRenderedPageBreak/>
              <w:t>0,2мм и более 0,4 мм - 0 баллов).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3.4.2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Равномерность рундиста (отклонение от параллельности не более 0,1мм)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3.4.3</w:t>
            </w:r>
          </w:p>
        </w:tc>
        <w:tc>
          <w:tcPr>
            <w:tcW w:w="2593" w:type="dxa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остатков мастики, пасты на любых гранях (фацетах) ювелирной вставки</w:t>
            </w:r>
          </w:p>
        </w:tc>
        <w:tc>
          <w:tcPr>
            <w:tcW w:w="2296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>
        <w:tc>
          <w:tcPr>
            <w:tcW w:w="3476" w:type="dxa"/>
            <w:gridSpan w:val="2"/>
            <w:shd w:val="clear" w:color="auto" w:fill="auto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 xml:space="preserve">Итого = 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100</w:t>
            </w:r>
          </w:p>
        </w:tc>
        <w:tc>
          <w:tcPr>
            <w:tcW w:w="2024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100</w:t>
            </w:r>
          </w:p>
        </w:tc>
      </w:tr>
    </w:tbl>
    <w:p>
      <w:pPr>
        <w:tabs>
          <w:tab w:val="left" w:pos="759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4F81BD" w:themeColor="accent1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параметры рассчитываются по формуле исходя из общего количества граней павильона и граней не имеющих оцениваемых дефектов.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А. При шлифовке формообразующих граней и задании формы ювелирной вставки используется размер зерна шлифовального круга не менее 28/20.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Соответствие заданному размеру W ( -0,2мм/+0,3мм) +\-0.2мм -2 балла; более 0,3мм -1 балл, менее 0,2мм — 0 баллов.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Соответствие формы заданным размерам L (+/- 0,1 мм).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Высота пояска (размер не менее размера высоты для короны+рундист)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В.  Соответствие формы заданному размеру W (+/-0,2мм)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Соответствие формы заданному контуру рундиста по L (отклонение по сторонам не превышает 0,1 мм).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Соответствие размера L и h расчетным с допуском +/- 0,1мм по фактическому размеру W.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С. Высокое качество полировки — это отсутствие рисок, сколов, выколов, разгранок, остатков пасты, остатков мастики, «шёлка», оптических дефектов из-за неправильно выставленных углов. 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Размер площадки T  (отклонение не более +/ - 0,1 мм - 2 балла, не более +/- 0,2мм - 1 балл; более 0,2мм (менее 0,2 мм) — 0 баллов).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Соответствие формы заданным размером W (+/- 0,2мм)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Отклонение общей высоты ювелирной вставки от расчетной (не более +/- 0,2 мм) по фактическому размеру W и рундисту r.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Толщина рундиста (от 0,2мм до 0,3мм - 2 балла; больше 0,3мм менее - 0,4мм - 1 балл; менее 0,2мм и более 0,4 мм - 0 баллов).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Равномерность рундиста (отклонение от параллельности не более 0,1мм)</w:t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при выполнении одного из модулей произошло отклеивание полуфабриката ювелирной вставки, то с участника снимется 2 балла от общего количества баллов модуля в процессе выполнения которого произошло отклеивание полуфабриката ювелирной вставки и оформляется протоколом. </w:t>
      </w:r>
    </w:p>
    <w:p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по вине эксперта при оценке полуфабриката ювелирной вставки произошло отклеивание полуфабриката ювелирной вставки и/или произошло повреждение полуфабриката ювелирной вставки (сколы, царапины и т.д.) у любого из участников соревнований, то в этом случае снимается 10 баллов от итогового количества баллов с участника той организации, чей эксперт нанес ущерб ювелирной вставке и оформляется протоколом.</w:t>
      </w:r>
    </w:p>
    <w:p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участника, которому был причинен ущерб (отклеивание, скол, царапина и т.д.) по вине эксперта и /или третьих лиц добавляется время на исправление ущерба в плоть до полной переогранки полуфабриката ювелирной вставки или не засчитывается как дефект при оценке модуля. Решение о выборе дальнейших мероприятий по исправлению ущерба принимается коллегиально (участник, эксперт участника, главный эксперт) и оформляется протоколом.</w:t>
      </w: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lastRenderedPageBreak/>
        <w:t xml:space="preserve">Приложение 1. </w:t>
      </w: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033354" cy="806196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431" cy="806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w:type="default" r:id="rId12"/>
      <w:footerReference w:type="default" r:id="rId13"/>
      <w:pgSz w:w="11906" w:h="16838"/>
      <w:pgMar w:top="536" w:right="709" w:bottom="1134" w:left="1134" w:header="284" w:footer="0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MS PMincho"/>
    <w:charset w:val="80"/>
    <w:family w:val="roman"/>
    <w:pitch w:val="variable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75136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56" name="Надпись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a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56" o:spid="_x0000_s1026" type="#_x0000_t202" style="position:absolute;margin-left:67.6pt;margin-top:0;width:118.8pt;height:30.65pt;z-index:2516751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" filled="f" stroked="f" strokeweight=".5pt">
              <v:path arrowok="t"/>
              <v:textbox style="mso-fit-shape-to-text:t">
                <w:txbxContent>
                  <w:p>
                    <w:pPr>
                      <w:pStyle w:val="a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224"/>
      <w:gridCol w:w="3839"/>
    </w:tblGrid>
    <w:tr>
      <w:trPr>
        <w:trHeight w:hRule="exact" w:val="115"/>
        <w:jc w:val="center"/>
      </w:trPr>
      <w:tc>
        <w:tcPr>
          <w:tcW w:w="6358" w:type="dxa"/>
          <w:shd w:val="clear" w:color="auto" w:fill="C00000"/>
          <w:tcMar>
            <w:top w:w="0" w:type="dxa"/>
            <w:bottom w:w="0" w:type="dxa"/>
          </w:tcMar>
        </w:tcPr>
        <w:p>
          <w:pPr>
            <w:pStyle w:val="a8"/>
            <w:tabs>
              <w:tab w:val="clear" w:pos="4677"/>
              <w:tab w:val="clear" w:pos="9355"/>
            </w:tabs>
            <w:rPr>
              <w:caps/>
              <w:sz w:val="18"/>
            </w:rPr>
          </w:pPr>
          <w:r>
            <w:rPr>
              <w:caps/>
              <w:sz w:val="18"/>
            </w:rPr>
            <w:ptab w:relativeTo="margin" w:alignment="center" w:leader="none"/>
          </w:r>
        </w:p>
      </w:tc>
      <w:tc>
        <w:tcPr>
          <w:tcW w:w="3935" w:type="dxa"/>
          <w:shd w:val="clear" w:color="auto" w:fill="C00000"/>
          <w:tcMar>
            <w:top w:w="0" w:type="dxa"/>
            <w:bottom w:w="0" w:type="dxa"/>
          </w:tcMar>
        </w:tcPr>
        <w:p>
          <w:pPr>
            <w:pStyle w:val="a8"/>
            <w:tabs>
              <w:tab w:val="clear" w:pos="4677"/>
              <w:tab w:val="clear" w:pos="9355"/>
            </w:tabs>
            <w:jc w:val="right"/>
            <w:rPr>
              <w:caps/>
              <w:sz w:val="18"/>
            </w:rPr>
          </w:pPr>
        </w:p>
      </w:tc>
    </w:tr>
    <w:tr>
      <w:trPr>
        <w:jc w:val="center"/>
      </w:trPr>
      <w:sdt>
        <w:sdtPr>
          <w:rPr>
            <w:rFonts w:ascii="Times New Roman" w:eastAsia="Calibri" w:hAnsi="Times New Roman"/>
            <w:sz w:val="18"/>
            <w:szCs w:val="18"/>
            <w:lang w:eastAsia="en-US"/>
          </w:rPr>
          <w:alias w:val="Автор"/>
          <w:tag w:val=""/>
          <w:id w:val="1837024692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Content>
          <w:tc>
            <w:tcPr>
              <w:tcW w:w="6358" w:type="dxa"/>
              <w:shd w:val="clear" w:color="auto" w:fill="auto"/>
              <w:vAlign w:val="center"/>
            </w:tcPr>
            <w:p>
              <w:pPr>
                <w:pStyle w:val="aa"/>
                <w:tabs>
                  <w:tab w:val="clear" w:pos="4677"/>
                  <w:tab w:val="clear" w:pos="9355"/>
                </w:tabs>
                <w:rPr>
                  <w:rFonts w:ascii="Times New Roman" w:hAnsi="Times New Roman"/>
                  <w:caps/>
                  <w:sz w:val="18"/>
                  <w:szCs w:val="18"/>
                </w:rPr>
              </w:pPr>
              <w:r>
                <w:rPr>
                  <w:rFonts w:ascii="Times New Roman" w:eastAsia="Calibri" w:hAnsi="Times New Roman"/>
                  <w:sz w:val="18"/>
                  <w:szCs w:val="18"/>
                  <w:lang w:eastAsia="en-US"/>
                </w:rPr>
                <w:t>Copyright © Союз «Ворлдскиллс Россия»          (Огранка ювелирных вставок)</w:t>
              </w:r>
            </w:p>
          </w:tc>
        </w:sdtContent>
      </w:sdt>
      <w:tc>
        <w:tcPr>
          <w:tcW w:w="3935" w:type="dxa"/>
          <w:shd w:val="clear" w:color="auto" w:fill="auto"/>
          <w:vAlign w:val="center"/>
        </w:tcPr>
        <w:p>
          <w:pPr>
            <w:pStyle w:val="aa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>
            <w:rPr>
              <w:caps/>
              <w:sz w:val="18"/>
              <w:szCs w:val="18"/>
            </w:rPr>
            <w:fldChar w:fldCharType="begin"/>
          </w:r>
          <w:r>
            <w:rPr>
              <w:caps/>
              <w:sz w:val="18"/>
              <w:szCs w:val="18"/>
            </w:rPr>
            <w:instrText>PAGE   \* MERGEFORMAT</w:instrText>
          </w:r>
          <w:r>
            <w:rPr>
              <w:caps/>
              <w:sz w:val="18"/>
              <w:szCs w:val="18"/>
            </w:rPr>
            <w:fldChar w:fldCharType="separate"/>
          </w:r>
          <w:r>
            <w:rPr>
              <w:caps/>
              <w:noProof/>
              <w:sz w:val="18"/>
              <w:szCs w:val="18"/>
            </w:rPr>
            <w:t>12</w:t>
          </w:r>
          <w:r>
            <w:rPr>
              <w:caps/>
              <w:sz w:val="18"/>
              <w:szCs w:val="18"/>
            </w:rPr>
            <w:fldChar w:fldCharType="end"/>
          </w:r>
        </w:p>
      </w:tc>
    </w:tr>
  </w:tbl>
  <w:p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a8"/>
    </w:pPr>
    <w:r>
      <w:t xml:space="preserve">                                     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>
          <wp:extent cx="951230" cy="688975"/>
          <wp:effectExtent l="0" t="0" r="0" b="0"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230" cy="688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D2E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0E67976"/>
    <w:multiLevelType w:val="hybridMultilevel"/>
    <w:tmpl w:val="7674D5A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F57B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234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96E1382"/>
    <w:multiLevelType w:val="hybridMultilevel"/>
    <w:tmpl w:val="21F4E94E"/>
    <w:lvl w:ilvl="0" w:tplc="42DEA3BC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2B1922EF"/>
    <w:multiLevelType w:val="hybridMultilevel"/>
    <w:tmpl w:val="06DA2A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529150B"/>
    <w:multiLevelType w:val="hybridMultilevel"/>
    <w:tmpl w:val="136E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626DA"/>
    <w:multiLevelType w:val="hybridMultilevel"/>
    <w:tmpl w:val="DE4CC1A0"/>
    <w:lvl w:ilvl="0" w:tplc="83C46C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2D76A1F"/>
    <w:multiLevelType w:val="hybridMultilevel"/>
    <w:tmpl w:val="AB661308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CB4544"/>
    <w:multiLevelType w:val="hybridMultilevel"/>
    <w:tmpl w:val="029EB1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B3006D"/>
    <w:multiLevelType w:val="hybridMultilevel"/>
    <w:tmpl w:val="352A025A"/>
    <w:lvl w:ilvl="0" w:tplc="AA6A3884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333AAA"/>
    <w:multiLevelType w:val="hybridMultilevel"/>
    <w:tmpl w:val="AF06F4F2"/>
    <w:lvl w:ilvl="0" w:tplc="AA0E6A20">
      <w:start w:val="2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78AB0E7B"/>
    <w:multiLevelType w:val="hybridMultilevel"/>
    <w:tmpl w:val="C3788568"/>
    <w:lvl w:ilvl="0" w:tplc="28221436">
      <w:start w:val="6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DB545A"/>
    <w:multiLevelType w:val="hybridMultilevel"/>
    <w:tmpl w:val="726C3CB2"/>
    <w:lvl w:ilvl="0" w:tplc="8662EFA0">
      <w:start w:val="2"/>
      <w:numFmt w:val="decimal"/>
      <w:lvlText w:val="%1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6"/>
  </w:num>
  <w:num w:numId="5">
    <w:abstractNumId w:val="3"/>
  </w:num>
  <w:num w:numId="6">
    <w:abstractNumId w:val="0"/>
  </w:num>
  <w:num w:numId="7">
    <w:abstractNumId w:val="2"/>
  </w:num>
  <w:num w:numId="8">
    <w:abstractNumId w:val="5"/>
  </w:num>
  <w:num w:numId="9">
    <w:abstractNumId w:val="7"/>
  </w:num>
  <w:num w:numId="10">
    <w:abstractNumId w:val="1"/>
  </w:num>
  <w:num w:numId="11">
    <w:abstractNumId w:val="11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3450F95-7D4A-41C6-A1D7-AB9241E23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/>
      <w:sz w:val="22"/>
      <w:szCs w:val="22"/>
    </w:rPr>
  </w:style>
  <w:style w:type="paragraph" w:styleId="2">
    <w:name w:val="heading 2"/>
    <w:basedOn w:val="a"/>
    <w:next w:val="a"/>
    <w:link w:val="20"/>
    <w:qFormat/>
    <w:pPr>
      <w:keepNext/>
      <w:spacing w:before="240" w:after="120" w:line="240" w:lineRule="auto"/>
      <w:outlineLvl w:val="1"/>
    </w:pPr>
    <w:rPr>
      <w:rFonts w:ascii="Arial" w:hAnsi="Arial"/>
      <w:b/>
      <w:i/>
      <w:szCs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pPr>
      <w:widowControl w:val="0"/>
      <w:suppressAutoHyphens/>
      <w:spacing w:after="200" w:line="276" w:lineRule="auto"/>
    </w:pPr>
    <w:rPr>
      <w:rFonts w:ascii="Liberation Serif" w:hAnsi="Liberation Serif" w:cs="Lohit Hindi"/>
      <w:sz w:val="24"/>
      <w:szCs w:val="24"/>
      <w:lang w:eastAsia="zh-CN" w:bidi="hi-IN"/>
    </w:rPr>
  </w:style>
  <w:style w:type="paragraph" w:styleId="a4">
    <w:name w:val="Normal (Web)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Pr>
      <w:rFonts w:cs="Times New Roman"/>
    </w:rPr>
  </w:style>
  <w:style w:type="paragraph" w:styleId="a5">
    <w:name w:val="List Paragraph"/>
    <w:basedOn w:val="a"/>
    <w:uiPriority w:val="99"/>
    <w:qFormat/>
    <w:pPr>
      <w:ind w:left="720"/>
      <w:contextualSpacing/>
    </w:pPr>
    <w:rPr>
      <w:rFonts w:eastAsia="Calibri"/>
      <w:lang w:eastAsia="en-US"/>
    </w:rPr>
  </w:style>
  <w:style w:type="paragraph" w:styleId="a6">
    <w:name w:val="Balloon Text"/>
    <w:basedOn w:val="a"/>
    <w:link w:val="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Pr>
      <w:rFonts w:ascii="Calibri" w:hAnsi="Calibri"/>
      <w:sz w:val="22"/>
      <w:szCs w:val="22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Pr>
      <w:rFonts w:ascii="Calibri" w:hAnsi="Calibri"/>
      <w:sz w:val="22"/>
      <w:szCs w:val="22"/>
    </w:rPr>
  </w:style>
  <w:style w:type="paragraph" w:customStyle="1" w:styleId="AB630D60F59F403CB531B268FE76FA17">
    <w:name w:val="AB630D60F59F403CB531B268FE76FA17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0">
    <w:name w:val="Заголовок 2 Знак"/>
    <w:basedOn w:val="a0"/>
    <w:link w:val="2"/>
    <w:rPr>
      <w:rFonts w:ascii="Arial" w:hAnsi="Arial"/>
      <w:b/>
      <w:i/>
      <w:sz w:val="22"/>
      <w:szCs w:val="24"/>
      <w:lang w:val="en-GB" w:eastAsia="en-US"/>
    </w:rPr>
  </w:style>
  <w:style w:type="character" w:customStyle="1" w:styleId="ac">
    <w:name w:val="Основной текст_"/>
    <w:basedOn w:val="a0"/>
    <w:link w:val="4"/>
    <w:rPr>
      <w:rFonts w:ascii="Calibri" w:eastAsia="Calibri" w:hAnsi="Calibri" w:cs="Calibri"/>
      <w:spacing w:val="2"/>
      <w:shd w:val="clear" w:color="auto" w:fill="FFFFFF"/>
    </w:rPr>
  </w:style>
  <w:style w:type="character" w:customStyle="1" w:styleId="1">
    <w:name w:val="Основной текст1"/>
    <w:basedOn w:val="ac"/>
    <w:rPr>
      <w:rFonts w:ascii="Calibri" w:eastAsia="Calibri" w:hAnsi="Calibri" w:cs="Calibri"/>
      <w:color w:val="000000"/>
      <w:spacing w:val="2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c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eastAsia="Calibri" w:cs="Calibri"/>
      <w:spacing w:val="2"/>
      <w:sz w:val="20"/>
      <w:szCs w:val="20"/>
    </w:rPr>
  </w:style>
  <w:style w:type="table" w:styleId="ad">
    <w:name w:val="Table Grid"/>
    <w:basedOn w:val="a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subtitle2">
    <w:name w:val="Doc subtitle2"/>
    <w:basedOn w:val="a"/>
    <w:link w:val="Docsubtitle2Char"/>
    <w:qFormat/>
    <w:pPr>
      <w:spacing w:after="0" w:line="240" w:lineRule="auto"/>
    </w:pPr>
    <w:rPr>
      <w:rFonts w:ascii="Arial" w:eastAsiaTheme="minorHAnsi" w:hAnsi="Arial" w:cstheme="minorBidi"/>
      <w:sz w:val="28"/>
      <w:szCs w:val="28"/>
      <w:lang w:val="en-GB" w:eastAsia="en-US"/>
    </w:rPr>
  </w:style>
  <w:style w:type="character" w:customStyle="1" w:styleId="Docsubtitle2Char">
    <w:name w:val="Doc subtitle2 Char"/>
    <w:basedOn w:val="a0"/>
    <w:link w:val="Docsubtitle2"/>
    <w:rPr>
      <w:rFonts w:ascii="Arial" w:eastAsiaTheme="minorHAnsi" w:hAnsi="Arial" w:cstheme="minorBidi"/>
      <w:sz w:val="28"/>
      <w:szCs w:val="28"/>
      <w:lang w:val="en-GB" w:eastAsia="en-US"/>
    </w:rPr>
  </w:style>
  <w:style w:type="paragraph" w:customStyle="1" w:styleId="Doctitle">
    <w:name w:val="Doc title"/>
    <w:basedOn w:val="a"/>
    <w:pPr>
      <w:spacing w:after="0" w:line="240" w:lineRule="auto"/>
    </w:pPr>
    <w:rPr>
      <w:rFonts w:ascii="Arial" w:hAnsi="Arial"/>
      <w:b/>
      <w:sz w:val="40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44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19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96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28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560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580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739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539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621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144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696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2908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066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9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5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0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1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30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435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47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435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540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4456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796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043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3204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77322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7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85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88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19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111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106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9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914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764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6034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6206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786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8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BD11C86-FB65-4E1C-8562-C4F1BF920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1915</Words>
  <Characters>10922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 Национальный чемпионат Hi-Tech, Екатеринбург</vt:lpstr>
    </vt:vector>
  </TitlesOfParts>
  <Company>MoBIL GROUP</Company>
  <LinksUpToDate>false</LinksUpToDate>
  <CharactersWithSpaces>12812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 Национальный чемпионат Hi-Tech, Екатеринбург</dc:title>
  <dc:creator>Copyright © Союз «Ворлдскиллс Россия»          (Огранка ювелирных вставок)</dc:creator>
  <cp:lastModifiedBy>Попкова С.Ю.</cp:lastModifiedBy>
  <cp:revision>2</cp:revision>
  <cp:lastPrinted>2021-03-01T07:11:00Z</cp:lastPrinted>
  <dcterms:created xsi:type="dcterms:W3CDTF">2021-03-01T09:29:00Z</dcterms:created>
  <dcterms:modified xsi:type="dcterms:W3CDTF">2021-03-01T09:29:00Z</dcterms:modified>
</cp:coreProperties>
</file>